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AGENDA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 (Huhn-kuh-mee-nam) 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________.”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_________.”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Trivia Night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Tomorrow!! 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Anything else needed or to be done?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First Year Social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 on shopping list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can set up/takedown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raining, do we have a room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Instagram post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AMS Council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Chan Centre presentation pushed back to meeting of Oct.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Dr. Law Email/Meeting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reply since requesting for statement and inviting her to meeting 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Chan Centre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UBCSO concert speech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David Lemon email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Next 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East Vancouver Community Music School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6D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7B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7C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7D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8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8A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8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